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20</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R2-2212614</w:t>
      </w:r>
      <w:bookmarkStart w:id="4" w:name="_GoBack"/>
      <w:bookmarkEnd w:id="4"/>
    </w:p>
    <w:p>
      <w:pPr>
        <w:pStyle w:val="56"/>
        <w:rPr>
          <w:rFonts w:eastAsia="Arial Unicode MS" w:cs="Arial"/>
          <w:color w:val="000000" w:themeColor="text1"/>
          <w:sz w:val="20"/>
          <w14:textFill>
            <w14:solidFill>
              <w14:schemeClr w14:val="tx1"/>
            </w14:solidFill>
          </w14:textFill>
        </w:rPr>
      </w:pPr>
      <w:r>
        <w:rPr>
          <w:rFonts w:hint="eastAsia" w:eastAsia="Arial Unicode MS" w:cs="Arial"/>
          <w:sz w:val="20"/>
        </w:rPr>
        <w:t>Toulouse, France</w:t>
      </w:r>
      <w:r>
        <w:rPr>
          <w:rFonts w:hint="default" w:eastAsia="Arial Unicode MS" w:cs="Arial"/>
          <w:sz w:val="20"/>
          <w:lang w:val="en-US"/>
        </w:rPr>
        <w:t>,</w:t>
      </w:r>
      <w:r>
        <w:rPr>
          <w:rFonts w:eastAsia="Arial Unicode MS" w:cs="Arial"/>
          <w:color w:val="000000" w:themeColor="text1"/>
          <w:sz w:val="20"/>
          <w14:textFill>
            <w14:solidFill>
              <w14:schemeClr w14:val="tx1"/>
            </w14:solidFill>
          </w14:textFill>
        </w:rPr>
        <w:t xml:space="preserve"> </w:t>
      </w:r>
      <w:r>
        <w:rPr>
          <w:rFonts w:hint="default" w:eastAsia="Arial Unicode MS" w:cs="Arial"/>
          <w:color w:val="000000" w:themeColor="text1"/>
          <w:sz w:val="20"/>
          <w:lang w:val="en-US"/>
          <w14:textFill>
            <w14:solidFill>
              <w14:schemeClr w14:val="tx1"/>
            </w14:solidFill>
          </w14:textFill>
        </w:rPr>
        <w:t>November</w:t>
      </w:r>
      <w:r>
        <w:rPr>
          <w:rFonts w:hint="eastAsia" w:eastAsia="Arial Unicode MS" w:cs="Arial"/>
          <w:color w:val="000000" w:themeColor="text1"/>
          <w:sz w:val="20"/>
          <w14:textFill>
            <w14:solidFill>
              <w14:schemeClr w14:val="tx1"/>
            </w14:solidFill>
          </w14:textFill>
        </w:rPr>
        <w:t xml:space="preserve"> 1</w:t>
      </w:r>
      <w:r>
        <w:rPr>
          <w:rFonts w:hint="default" w:eastAsia="Arial Unicode MS" w:cs="Arial"/>
          <w:color w:val="000000" w:themeColor="text1"/>
          <w:sz w:val="20"/>
          <w:lang w:val="en-US"/>
          <w14:textFill>
            <w14:solidFill>
              <w14:schemeClr w14:val="tx1"/>
            </w14:solidFill>
          </w14:textFill>
        </w:rPr>
        <w:t>4</w:t>
      </w:r>
      <w:r>
        <w:rPr>
          <w:rFonts w:hint="eastAsia" w:eastAsia="Arial Unicode MS" w:cs="Arial"/>
          <w:color w:val="000000" w:themeColor="text1"/>
          <w:sz w:val="20"/>
          <w14:textFill>
            <w14:solidFill>
              <w14:schemeClr w14:val="tx1"/>
            </w14:solidFill>
          </w14:textFill>
        </w:rPr>
        <w:t>th – 1</w:t>
      </w:r>
      <w:r>
        <w:rPr>
          <w:rFonts w:hint="default" w:eastAsia="Arial Unicode MS" w:cs="Arial"/>
          <w:color w:val="000000" w:themeColor="text1"/>
          <w:sz w:val="20"/>
          <w:lang w:val="en-US"/>
          <w14:textFill>
            <w14:solidFill>
              <w14:schemeClr w14:val="tx1"/>
            </w14:solidFill>
          </w14:textFill>
        </w:rPr>
        <w:t>8</w:t>
      </w:r>
      <w:r>
        <w:rPr>
          <w:rFonts w:hint="eastAsia" w:eastAsia="Arial Unicode MS" w:cs="Arial"/>
          <w:color w:val="000000" w:themeColor="text1"/>
          <w:sz w:val="20"/>
          <w14:textFill>
            <w14:solidFill>
              <w14:schemeClr w14:val="tx1"/>
            </w14:solidFill>
          </w14:textFill>
        </w:rPr>
        <w:t>th, 2022</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8.7.4</w:t>
      </w:r>
      <w:r>
        <w:rPr>
          <w:rFonts w:hint="default" w:eastAsia="宋体" w:cs="Arial"/>
          <w:color w:val="000000" w:themeColor="text1"/>
          <w:sz w:val="20"/>
          <w:lang w:val="en-US"/>
          <w14:textFill>
            <w14:solidFill>
              <w14:schemeClr w14:val="tx1"/>
            </w14:solidFill>
          </w14:textFill>
        </w:rPr>
        <w:t>.1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 NTN-TN reselection and reselection for earth moving cell</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pStyle w:val="6"/>
        <w:numPr>
          <w:ilvl w:val="0"/>
          <w:numId w:val="11"/>
        </w:numPr>
        <w:pBdr>
          <w:top w:val="single" w:color="auto" w:sz="4" w:space="1"/>
          <w:left w:val="single" w:color="auto" w:sz="4" w:space="4"/>
          <w:bottom w:val="single" w:color="auto" w:sz="4" w:space="1"/>
          <w:right w:val="single" w:color="auto" w:sz="4" w:space="4"/>
        </w:pBdr>
      </w:pPr>
      <w:r>
        <w:t>To enhance NTN-TN cell reselection, means are defined for a UE to differentiate when camping in an area only covered by NTN network (earth-moving or earth-fixed) vs an area where TN network(s) is/are also available.</w:t>
      </w:r>
    </w:p>
    <w:p>
      <w:pPr>
        <w:pStyle w:val="111"/>
      </w:pP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2"/>
        </w:numPr>
        <w:pBdr>
          <w:top w:val="single" w:color="auto" w:sz="4" w:space="1"/>
          <w:left w:val="single" w:color="auto" w:sz="4" w:space="4"/>
          <w:bottom w:val="single" w:color="auto" w:sz="4" w:space="1"/>
          <w:right w:val="single" w:color="auto" w:sz="4" w:space="4"/>
        </w:pBdr>
      </w:pPr>
      <w:r>
        <w:t>System information is the basic means for providing necessary parameters to assist UE to estimate when the serving cell stops providing coverage at the present UE location.</w:t>
      </w:r>
    </w:p>
    <w:p>
      <w:pPr>
        <w:pStyle w:val="6"/>
        <w:numPr>
          <w:ilvl w:val="0"/>
          <w:numId w:val="12"/>
        </w:numPr>
        <w:pBdr>
          <w:top w:val="single" w:color="auto" w:sz="4" w:space="1"/>
          <w:left w:val="single" w:color="auto" w:sz="4" w:space="4"/>
          <w:bottom w:val="single" w:color="auto" w:sz="4" w:space="1"/>
          <w:right w:val="single" w:color="auto" w:sz="4" w:space="4"/>
        </w:pBdr>
      </w:pPr>
      <w:r>
        <w:t>UE is not required to perform neighbour cell measurements for TN neighbour cells in an area where there is no TN network coverage.</w:t>
      </w:r>
    </w:p>
    <w:p>
      <w:pPr>
        <w:pStyle w:val="6"/>
        <w:numPr>
          <w:ilvl w:val="0"/>
          <w:numId w:val="12"/>
        </w:numPr>
        <w:pBdr>
          <w:top w:val="single" w:color="auto" w:sz="4" w:space="1"/>
          <w:left w:val="single" w:color="auto" w:sz="4" w:space="4"/>
          <w:bottom w:val="single" w:color="auto" w:sz="4" w:space="1"/>
          <w:right w:val="single" w:color="auto" w:sz="4" w:space="4"/>
        </w:pBdr>
      </w:pPr>
      <w:r>
        <w:t>The method of detecting the transmission energy or SIB presence to determine the NTN coverage when a UE currently camps on a TN cell is not pursued.</w:t>
      </w:r>
    </w:p>
    <w:p>
      <w:pPr>
        <w:pStyle w:val="6"/>
        <w:numPr>
          <w:ilvl w:val="0"/>
          <w:numId w:val="12"/>
        </w:numPr>
        <w:pBdr>
          <w:top w:val="single" w:color="auto" w:sz="4" w:space="1"/>
          <w:left w:val="single" w:color="auto" w:sz="4" w:space="4"/>
          <w:bottom w:val="single" w:color="auto" w:sz="4" w:space="1"/>
          <w:right w:val="single" w:color="auto" w:sz="4" w:space="4"/>
        </w:pBdr>
      </w:pPr>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pPr>
        <w:pStyle w:val="60"/>
        <w:spacing w:after="0"/>
        <w:ind w:left="0" w:firstLine="0"/>
        <w:rPr>
          <w:rFonts w:hint="eastAsia" w:cs="Arial" w:eastAsiaTheme="minorEastAsia"/>
          <w:bCs/>
          <w:color w:val="000000" w:themeColor="text1"/>
          <w:lang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analysi</w:t>
      </w:r>
      <w:r>
        <w:rPr>
          <w:rFonts w:cs="Arial" w:eastAsiaTheme="minorEastAsia"/>
          <w:bCs/>
          <w:color w:val="000000" w:themeColor="text1"/>
          <w:lang w:eastAsia="zh-CN"/>
          <w14:textFill>
            <w14:solidFill>
              <w14:schemeClr w14:val="tx1"/>
            </w14:solidFill>
          </w14:textFill>
        </w:rPr>
        <w:t>s for</w:t>
      </w:r>
      <w:r>
        <w:rPr>
          <w:rFonts w:hint="default" w:cs="Arial" w:eastAsiaTheme="minorEastAsia"/>
          <w:bCs/>
          <w:color w:val="000000" w:themeColor="text1"/>
          <w:lang w:val="en-US" w:eastAsia="zh-CN"/>
          <w14:textFill>
            <w14:solidFill>
              <w14:schemeClr w14:val="tx1"/>
            </w14:solidFill>
          </w14:textFill>
        </w:rPr>
        <w:t xml:space="preserve"> further</w:t>
      </w:r>
      <w:r>
        <w:rPr>
          <w:rFonts w:cs="Arial" w:eastAsiaTheme="minorEastAsia"/>
          <w:bCs/>
          <w:color w:val="000000" w:themeColor="text1"/>
          <w:lang w:eastAsia="zh-CN"/>
          <w14:textFill>
            <w14:solidFill>
              <w14:schemeClr w14:val="tx1"/>
            </w14:solidFill>
          </w14:textFill>
        </w:rPr>
        <w:t xml:space="preserve"> 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eastAsiaTheme="minorEastAsia"/>
          <w:color w:val="000000" w:themeColor="text1"/>
          <w:sz w:val="25"/>
          <w:szCs w:val="25"/>
          <w:lang w:val="en-US" w:eastAsia="zh-CN"/>
          <w14:textFill>
            <w14:solidFill>
              <w14:schemeClr w14:val="tx1"/>
            </w14:solidFill>
          </w14:textFill>
        </w:rPr>
      </w:pPr>
      <w:bookmarkStart w:id="2" w:name="_Hlk41985036"/>
      <w:r>
        <w:rPr>
          <w:rFonts w:hint="default" w:cs="Arial" w:eastAsiaTheme="minorEastAsia"/>
          <w:b/>
          <w:bCs w:val="0"/>
          <w:color w:val="000000" w:themeColor="text1"/>
          <w:sz w:val="25"/>
          <w:szCs w:val="25"/>
          <w:lang w:val="en-US" w:eastAsia="zh-CN"/>
          <w14:textFill>
            <w14:solidFill>
              <w14:schemeClr w14:val="tx1"/>
            </w14:solidFill>
          </w14:textFill>
        </w:rPr>
        <w:t xml:space="preserve">2.1 NTN-TN cell reselection </w:t>
      </w:r>
    </w:p>
    <w:p>
      <w:pPr>
        <w:pStyle w:val="60"/>
        <w:spacing w:after="0"/>
        <w:ind w:left="0" w:firstLine="0"/>
        <w:rPr>
          <w:rFonts w:hint="default"/>
          <w:lang w:val="en-US"/>
        </w:rPr>
      </w:pPr>
      <w:r>
        <w:rPr>
          <w:rFonts w:hint="default" w:cs="Arial" w:eastAsiaTheme="minorEastAsia"/>
          <w:bCs/>
          <w:color w:val="000000" w:themeColor="text1"/>
          <w:lang w:val="en-US" w:eastAsia="zh-CN"/>
          <w14:textFill>
            <w14:solidFill>
              <w14:schemeClr w14:val="tx1"/>
            </w14:solidFill>
          </w14:textFill>
        </w:rPr>
        <w:t>T</w:t>
      </w:r>
      <w:r>
        <w:rPr>
          <w:rFonts w:hint="eastAsia" w:cs="Arial" w:eastAsiaTheme="minorEastAsia"/>
          <w:bCs/>
          <w:color w:val="000000" w:themeColor="text1"/>
          <w:highlight w:val="none"/>
          <w:lang w:eastAsia="zh-CN"/>
          <w14:textFill>
            <w14:solidFill>
              <w14:schemeClr w14:val="tx1"/>
            </w14:solidFill>
          </w14:textFill>
        </w:rPr>
        <w:t xml:space="preserve">o </w:t>
      </w:r>
      <w:r>
        <w:rPr>
          <w:rFonts w:hint="default" w:cs="Arial" w:eastAsiaTheme="minorEastAsia"/>
          <w:bCs/>
          <w:color w:val="000000" w:themeColor="text1"/>
          <w:highlight w:val="none"/>
          <w:lang w:val="en-US" w:eastAsia="zh-CN"/>
          <w14:textFill>
            <w14:solidFill>
              <w14:schemeClr w14:val="tx1"/>
            </w14:solidFill>
          </w14:textFill>
        </w:rPr>
        <w:t>reduce</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t>UE power consumption</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highlight w:val="none"/>
          <w:lang w:eastAsia="zh-CN"/>
          <w14:textFill>
            <w14:solidFill>
              <w14:schemeClr w14:val="tx1"/>
            </w14:solidFill>
          </w14:textFill>
        </w:rPr>
        <w:t xml:space="preserve">due to </w:t>
      </w:r>
      <w:r>
        <w:rPr>
          <w:rFonts w:cs="Arial" w:eastAsiaTheme="minorEastAsia"/>
          <w:bCs/>
          <w:color w:val="000000" w:themeColor="text1"/>
          <w:lang w:eastAsia="zh-CN"/>
          <w14:textFill>
            <w14:solidFill>
              <w14:schemeClr w14:val="tx1"/>
            </w14:solidFill>
          </w14:textFill>
        </w:rPr>
        <w:t xml:space="preserve">unnecessary TN neighbor cell </w:t>
      </w:r>
      <w:r>
        <w:rPr>
          <w:rFonts w:hint="eastAsia" w:cs="Arial" w:eastAsiaTheme="minorEastAsia"/>
          <w:bCs/>
          <w:color w:val="000000" w:themeColor="text1"/>
          <w:highlight w:val="none"/>
          <w:lang w:eastAsia="zh-CN"/>
          <w14:textFill>
            <w14:solidFill>
              <w14:schemeClr w14:val="tx1"/>
            </w14:solidFill>
          </w14:textFill>
        </w:rPr>
        <w:t xml:space="preserve">search and </w:t>
      </w:r>
      <w:r>
        <w:rPr>
          <w:rFonts w:cs="Arial" w:eastAsiaTheme="minorEastAsia"/>
          <w:bCs/>
          <w:color w:val="000000" w:themeColor="text1"/>
          <w:lang w:eastAsia="zh-CN"/>
          <w14:textFill>
            <w14:solidFill>
              <w14:schemeClr w14:val="tx1"/>
            </w14:solidFill>
          </w14:textFill>
        </w:rPr>
        <w:t>measurements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beyond</w:t>
      </w:r>
      <w:r>
        <w:rPr>
          <w:rFonts w:hint="eastAsia" w:cs="Arial" w:eastAsiaTheme="minorEastAsia"/>
          <w:bCs/>
          <w:color w:val="000000" w:themeColor="text1"/>
          <w:highlight w:val="none"/>
          <w:lang w:eastAsia="zh-CN"/>
          <w14:textFill>
            <w14:solidFill>
              <w14:schemeClr w14:val="tx1"/>
            </w14:solidFill>
          </w14:textFill>
        </w:rPr>
        <w:t xml:space="preserve"> its reachable </w:t>
      </w:r>
      <w:r>
        <w:rPr>
          <w:rFonts w:cs="Arial" w:eastAsiaTheme="minorEastAsia"/>
          <w:bCs/>
          <w:color w:val="000000" w:themeColor="text1"/>
          <w:lang w:eastAsia="zh-CN"/>
          <w14:textFill>
            <w14:solidFill>
              <w14:schemeClr w14:val="tx1"/>
            </w14:solidFill>
          </w14:textFill>
        </w:rPr>
        <w:t>scope</w:t>
      </w:r>
      <w:r>
        <w:rPr>
          <w:rFonts w:hint="eastAsia" w:cs="Arial" w:eastAsiaTheme="minorEastAsia"/>
          <w:bCs/>
          <w:color w:val="000000" w:themeColor="text1"/>
          <w:highlight w:val="none"/>
          <w:lang w:eastAsia="zh-CN"/>
          <w14:textFill>
            <w14:solidFill>
              <w14:schemeClr w14:val="tx1"/>
            </w14:solidFill>
          </w14:textFill>
        </w:rPr>
        <w:t xml:space="preserve">, </w:t>
      </w:r>
      <w:r>
        <w:rPr>
          <w:rFonts w:hint="default" w:cs="Arial" w:eastAsiaTheme="minorEastAsia"/>
          <w:bCs/>
          <w:color w:val="000000" w:themeColor="text1"/>
          <w:highlight w:val="none"/>
          <w:lang w:val="en-US" w:eastAsia="zh-CN"/>
          <w14:textFill>
            <w14:solidFill>
              <w14:schemeClr w14:val="tx1"/>
            </w14:solidFill>
          </w14:textFill>
        </w:rPr>
        <w:t xml:space="preserve">it is beneficial that </w:t>
      </w:r>
      <w:r>
        <w:rPr>
          <w:rFonts w:hint="eastAsia" w:cs="Arial" w:eastAsiaTheme="minorEastAsia"/>
          <w:bCs/>
          <w:color w:val="000000" w:themeColor="text1"/>
          <w:highlight w:val="none"/>
          <w:lang w:eastAsia="zh-CN"/>
          <w14:textFill>
            <w14:solidFill>
              <w14:schemeClr w14:val="tx1"/>
            </w14:solidFill>
          </w14:textFill>
        </w:rPr>
        <w:t>the network deliver</w:t>
      </w:r>
      <w:r>
        <w:rPr>
          <w:rFonts w:hint="default" w:cs="Arial" w:eastAsiaTheme="minorEastAsia"/>
          <w:bCs/>
          <w:color w:val="000000" w:themeColor="text1"/>
          <w:highlight w:val="none"/>
          <w:lang w:val="en-US" w:eastAsia="zh-CN"/>
          <w14:textFill>
            <w14:solidFill>
              <w14:schemeClr w14:val="tx1"/>
            </w14:solidFill>
          </w14:textFill>
        </w:rPr>
        <w: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 xml:space="preserve">available </w:t>
      </w:r>
      <w:r>
        <w:rPr>
          <w:rFonts w:hint="eastAsia" w:cs="Arial" w:eastAsiaTheme="minorEastAsia"/>
          <w:bCs/>
          <w:color w:val="000000" w:themeColor="text1"/>
          <w:highlight w:val="none"/>
          <w:lang w:eastAsia="zh-CN"/>
          <w14:textFill>
            <w14:solidFill>
              <w14:schemeClr w14:val="tx1"/>
            </w14:solidFill>
          </w14:textFill>
        </w:rPr>
        <w:t>TN neighbor cell information to the UE</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And according to the last meeting agreements, we have agreed that </w:t>
      </w:r>
      <w:r>
        <w:rPr>
          <w:rFonts w:hint="default" w:cs="Arial" w:eastAsiaTheme="minorEastAsia"/>
          <w:bCs/>
          <w:i/>
          <w:iCs/>
          <w:color w:val="000000" w:themeColor="text1"/>
          <w:lang w:val="en-US" w:eastAsia="zh-CN"/>
          <w14:textFill>
            <w14:solidFill>
              <w14:schemeClr w14:val="tx1"/>
            </w14:solidFill>
          </w14:textFill>
        </w:rPr>
        <w:t>UE is not required to perform neighbour cell measurements for TN neighbour cells in an area where there is no TN network coverage</w:t>
      </w:r>
      <w:r>
        <w:rPr>
          <w:rFonts w:hint="default" w:cs="Arial" w:eastAsiaTheme="minorEastAsia"/>
          <w:bCs/>
          <w:color w:val="000000" w:themeColor="text1"/>
          <w:lang w:val="en-US" w:eastAsia="zh-CN"/>
          <w14:textFill>
            <w14:solidFill>
              <w14:schemeClr w14:val="tx1"/>
            </w14:solidFill>
          </w14:textFill>
        </w:rPr>
        <w:t>. However, regarding the assistance information for UE</w:t>
      </w:r>
      <w:r>
        <w:t xml:space="preserve"> to identify an area where TN network is available</w:t>
      </w:r>
      <w:r>
        <w:rPr>
          <w:rFonts w:hint="default"/>
          <w:lang w:val="en-US"/>
        </w:rPr>
        <w:t xml:space="preserve"> is controversial and postponed to discuss. In the email discussion [2], there are some options proposed as follows:</w:t>
      </w:r>
    </w:p>
    <w:p>
      <w:pPr>
        <w:pStyle w:val="60"/>
        <w:spacing w:after="0"/>
        <w:ind w:left="0" w:firstLine="0"/>
        <w:rPr>
          <w:rFonts w:hint="default"/>
          <w:b/>
          <w:bCs/>
          <w:i/>
          <w:iCs/>
          <w:lang w:val="en-US"/>
        </w:rPr>
      </w:pPr>
      <w:r>
        <w:rPr>
          <w:rFonts w:hint="default"/>
          <w:b/>
          <w:bCs/>
          <w:lang w:val="en-US"/>
        </w:rPr>
        <w:t>1.</w:t>
      </w:r>
      <w:r>
        <w:rPr>
          <w:rFonts w:hint="default"/>
          <w:b/>
          <w:bCs/>
          <w:lang w:val="en-US"/>
        </w:rPr>
        <w:tab/>
      </w:r>
      <w:r>
        <w:rPr>
          <w:rFonts w:hint="default"/>
          <w:b/>
          <w:bCs/>
          <w:i/>
          <w:iCs/>
          <w:lang w:val="en-US"/>
        </w:rPr>
        <w:t>The cell center and cell radius of TN neighbour cells, or in other terms, the reference location and a distance threshold of TN neighbour cells</w:t>
      </w:r>
    </w:p>
    <w:p>
      <w:pPr>
        <w:pStyle w:val="60"/>
        <w:spacing w:after="0"/>
        <w:ind w:left="0" w:firstLine="0"/>
        <w:rPr>
          <w:rFonts w:hint="default"/>
          <w:b/>
          <w:bCs/>
          <w:i/>
          <w:iCs/>
          <w:lang w:val="en-US"/>
        </w:rPr>
      </w:pPr>
      <w:r>
        <w:rPr>
          <w:rFonts w:hint="default"/>
          <w:b/>
          <w:bCs/>
          <w:i/>
          <w:iCs/>
          <w:lang w:val="en-US"/>
        </w:rPr>
        <w:t>2.</w:t>
      </w:r>
      <w:r>
        <w:rPr>
          <w:rFonts w:hint="default"/>
          <w:b/>
          <w:bCs/>
          <w:i/>
          <w:iCs/>
          <w:lang w:val="en-US"/>
        </w:rPr>
        <w:tab/>
      </w:r>
      <w:r>
        <w:rPr>
          <w:rFonts w:hint="default"/>
          <w:b/>
          <w:bCs/>
          <w:i/>
          <w:iCs/>
          <w:lang w:val="en-US"/>
        </w:rPr>
        <w:t>The boundary line between TN area and NTN area</w:t>
      </w:r>
    </w:p>
    <w:p>
      <w:pPr>
        <w:pStyle w:val="60"/>
        <w:spacing w:after="0"/>
        <w:ind w:left="0" w:firstLine="0"/>
        <w:rPr>
          <w:rFonts w:hint="default"/>
          <w:b/>
          <w:bCs/>
          <w:i/>
          <w:iCs/>
          <w:lang w:val="en-US"/>
        </w:rPr>
      </w:pPr>
      <w:r>
        <w:rPr>
          <w:rFonts w:hint="default"/>
          <w:b/>
          <w:bCs/>
          <w:i/>
          <w:iCs/>
          <w:lang w:val="en-US"/>
        </w:rPr>
        <w:t>3.</w:t>
      </w:r>
      <w:r>
        <w:rPr>
          <w:rFonts w:hint="default"/>
          <w:b/>
          <w:bCs/>
          <w:i/>
          <w:iCs/>
          <w:lang w:val="en-US"/>
        </w:rPr>
        <w:tab/>
      </w:r>
      <w:r>
        <w:rPr>
          <w:rFonts w:hint="default"/>
          <w:b/>
          <w:bCs/>
          <w:i/>
          <w:iCs/>
          <w:lang w:val="en-US"/>
        </w:rPr>
        <w:t>For quasi-earth fixed cells, TN coverage is described by a distance range from the cell center and an angle range based on a reference direction</w:t>
      </w:r>
    </w:p>
    <w:p>
      <w:pPr>
        <w:pStyle w:val="60"/>
        <w:spacing w:after="0"/>
        <w:ind w:left="0" w:firstLine="0"/>
        <w:rPr>
          <w:rFonts w:hint="default"/>
          <w:b/>
          <w:bCs/>
          <w:i/>
          <w:iCs/>
          <w:lang w:val="en-US"/>
        </w:rPr>
      </w:pPr>
      <w:r>
        <w:rPr>
          <w:rFonts w:hint="default"/>
          <w:b/>
          <w:bCs/>
          <w:i/>
          <w:iCs/>
          <w:lang w:val="en-US"/>
        </w:rPr>
        <w:t>4.</w:t>
      </w:r>
      <w:r>
        <w:rPr>
          <w:rFonts w:hint="default"/>
          <w:b/>
          <w:bCs/>
          <w:i/>
          <w:iCs/>
          <w:lang w:val="en-US"/>
        </w:rPr>
        <w:tab/>
      </w:r>
      <w:r>
        <w:rPr>
          <w:rFonts w:hint="default"/>
          <w:b/>
          <w:bCs/>
          <w:i/>
          <w:iCs/>
          <w:lang w:val="en-US"/>
        </w:rPr>
        <w:t>An indication could be included in system information to indicate NTN cell’s coverage overlaps with terrestrial TN cell’s coverage</w:t>
      </w:r>
    </w:p>
    <w:p>
      <w:pPr>
        <w:pStyle w:val="60"/>
        <w:spacing w:after="0"/>
        <w:ind w:left="0" w:firstLine="0"/>
        <w:rPr>
          <w:rFonts w:hint="default"/>
          <w:b/>
          <w:bCs/>
          <w:i/>
          <w:iCs/>
          <w:lang w:val="en-US"/>
        </w:rPr>
      </w:pPr>
      <w:r>
        <w:rPr>
          <w:rFonts w:hint="default"/>
          <w:b/>
          <w:bCs/>
          <w:i/>
          <w:iCs/>
          <w:lang w:val="en-US"/>
        </w:rPr>
        <w:t>5.</w:t>
      </w:r>
      <w:r>
        <w:rPr>
          <w:rFonts w:hint="default"/>
          <w:b/>
          <w:bCs/>
          <w:i/>
          <w:iCs/>
          <w:lang w:val="en-US"/>
        </w:rPr>
        <w:tab/>
      </w:r>
      <w:r>
        <w:rPr>
          <w:rFonts w:hint="default"/>
          <w:b/>
          <w:bCs/>
          <w:i/>
          <w:iCs/>
          <w:lang w:val="en-US"/>
        </w:rPr>
        <w:t>NTN cell can be divided to several virtual areas based on certain criteria. The virtual areas and the corresponding TN frequency information are broadcast as assistance information to help UE perform more accurate TN measurements.</w:t>
      </w:r>
    </w:p>
    <w:p>
      <w:pPr>
        <w:pStyle w:val="60"/>
        <w:spacing w:after="0"/>
        <w:ind w:left="0" w:firstLine="0"/>
        <w:rPr>
          <w:rFonts w:hint="default"/>
          <w:b/>
          <w:bCs/>
          <w:lang w:val="en-US"/>
        </w:rPr>
      </w:pPr>
      <w:r>
        <w:rPr>
          <w:rFonts w:hint="default"/>
          <w:b/>
          <w:bCs/>
          <w:i/>
          <w:iCs/>
          <w:lang w:val="en-US"/>
        </w:rPr>
        <w:t>6.</w:t>
      </w:r>
      <w:r>
        <w:rPr>
          <w:rFonts w:hint="default"/>
          <w:b/>
          <w:bCs/>
          <w:i/>
          <w:iCs/>
          <w:lang w:val="en-US"/>
        </w:rPr>
        <w:tab/>
      </w:r>
      <w:r>
        <w:rPr>
          <w:rFonts w:hint="default"/>
          <w:b/>
          <w:bCs/>
          <w:i/>
          <w:iCs/>
          <w:lang w:val="en-US"/>
        </w:rPr>
        <w:t>Introduce a parameter using the polygon shape captured in TS 23.032 to describe the coverage area of a TN neighbour cell.</w:t>
      </w:r>
    </w:p>
    <w:p>
      <w:pPr>
        <w:pStyle w:val="60"/>
        <w:spacing w:after="0"/>
        <w:ind w:left="0" w:firstLine="0"/>
        <w:rPr>
          <w:rFonts w:hint="default"/>
          <w:lang w:val="en-US" w:eastAsia="zh-CN"/>
        </w:rPr>
      </w:pPr>
      <w:r>
        <w:rPr>
          <w:rFonts w:hint="default"/>
          <w:lang w:val="en-US" w:eastAsia="zh-CN"/>
        </w:rPr>
        <w:t xml:space="preserve">From our perspective, option 1 could be the starting point for discussion. However, the UE does not now the appropriate occasion to perform TN neighbour cells measurement only with the assistance information in option 1. And </w:t>
      </w:r>
      <w:r>
        <w:rPr>
          <w:lang w:val="en-US" w:eastAsia="zh-CN"/>
        </w:rPr>
        <w:t>r</w:t>
      </w:r>
      <w:r>
        <w:rPr>
          <w:lang w:eastAsia="zh-CN"/>
        </w:rPr>
        <w:t>elative position</w:t>
      </w:r>
      <w:r>
        <w:rPr>
          <w:rFonts w:hint="default"/>
          <w:lang w:val="en-US" w:eastAsia="zh-CN"/>
        </w:rPr>
        <w:t xml:space="preserve"> information(e.g. direction and distance to the current NTN serving cell. ) between TN neighbour</w:t>
      </w:r>
      <w:r>
        <w:rPr>
          <w:lang w:eastAsia="zh-CN"/>
        </w:rPr>
        <w:t xml:space="preserve"> </w:t>
      </w:r>
      <w:r>
        <w:rPr>
          <w:rFonts w:hint="default"/>
          <w:lang w:val="en-US" w:eastAsia="zh-CN"/>
        </w:rPr>
        <w:t>cells and</w:t>
      </w:r>
      <w:r>
        <w:rPr>
          <w:lang w:eastAsia="zh-CN"/>
        </w:rPr>
        <w:t xml:space="preserve"> the current NTN </w:t>
      </w:r>
      <w:r>
        <w:rPr>
          <w:rFonts w:hint="default"/>
          <w:lang w:val="en-US" w:eastAsia="zh-CN"/>
        </w:rPr>
        <w:t xml:space="preserve">serving </w:t>
      </w:r>
      <w:r>
        <w:rPr>
          <w:lang w:eastAsia="zh-CN"/>
        </w:rPr>
        <w:t>cell</w:t>
      </w:r>
      <w:r>
        <w:rPr>
          <w:lang w:val="en-US" w:eastAsia="zh-CN"/>
        </w:rPr>
        <w:t xml:space="preserve"> could also be provided</w:t>
      </w:r>
      <w:r>
        <w:rPr>
          <w:rFonts w:hint="default"/>
          <w:lang w:val="en-US" w:eastAsia="zh-CN"/>
        </w:rPr>
        <w:t xml:space="preserve"> to UE </w:t>
      </w:r>
      <w:r>
        <w:rPr>
          <w:rFonts w:hint="default" w:cs="Arial" w:eastAsiaTheme="minorEastAsia"/>
          <w:bCs/>
          <w:color w:val="000000" w:themeColor="text1"/>
          <w:highlight w:val="none"/>
          <w:lang w:val="en-US" w:eastAsia="zh-CN"/>
          <w14:textFill>
            <w14:solidFill>
              <w14:schemeClr w14:val="tx1"/>
            </w14:solidFill>
          </w14:textFill>
        </w:rPr>
        <w:t xml:space="preserve">to help UE </w:t>
      </w:r>
      <w:r>
        <w:rPr>
          <w:rFonts w:hint="default" w:cs="Arial" w:eastAsiaTheme="minorEastAsia"/>
          <w:bCs/>
          <w:color w:val="000000" w:themeColor="text1"/>
          <w:lang w:val="en-US" w:eastAsia="zh-CN"/>
          <w14:textFill>
            <w14:solidFill>
              <w14:schemeClr w14:val="tx1"/>
            </w14:solidFill>
          </w14:textFill>
        </w:rPr>
        <w:t xml:space="preserve">choose a suitable TN </w:t>
      </w:r>
      <w:r>
        <w:rPr>
          <w:rFonts w:hint="eastAsia" w:cs="Arial" w:eastAsiaTheme="minorEastAsia"/>
          <w:bCs/>
          <w:color w:val="000000" w:themeColor="text1"/>
          <w:highlight w:val="none"/>
          <w:lang w:eastAsia="zh-CN"/>
          <w14:textFill>
            <w14:solidFill>
              <w14:schemeClr w14:val="tx1"/>
            </w14:solidFill>
          </w14:textFill>
        </w:rPr>
        <w:t>neighbor cell</w:t>
      </w:r>
      <w:r>
        <w:rPr>
          <w:rFonts w:hint="default"/>
          <w:lang w:val="en-US" w:eastAsia="zh-CN"/>
        </w:rPr>
        <w:t xml:space="preserve">. </w:t>
      </w:r>
    </w:p>
    <w:p>
      <w:pPr>
        <w:pStyle w:val="60"/>
        <w:spacing w:after="0"/>
        <w:ind w:left="0" w:firstLine="0"/>
        <w:rPr>
          <w:rFonts w:hint="default"/>
          <w:b/>
          <w:bCs w:val="0"/>
          <w:lang w:val="en-US"/>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val="0"/>
          <w:color w:val="000000" w:themeColor="text1"/>
          <w:lang w:val="en-US" w:eastAsia="zh-CN"/>
          <w14:textFill>
            <w14:solidFill>
              <w14:schemeClr w14:val="tx1"/>
            </w14:solidFill>
          </w14:textFill>
        </w:rPr>
        <w:t>Regarding the assistance information for UE</w:t>
      </w:r>
      <w:r>
        <w:rPr>
          <w:b/>
          <w:bCs w:val="0"/>
        </w:rPr>
        <w:t xml:space="preserve"> to identify an area where TN network is available</w:t>
      </w:r>
      <w:r>
        <w:rPr>
          <w:rFonts w:hint="default"/>
          <w:b/>
          <w:bCs w:val="0"/>
          <w:lang w:val="en-US"/>
        </w:rPr>
        <w:t>, option 1(</w:t>
      </w:r>
      <w:r>
        <w:rPr>
          <w:rFonts w:hint="default"/>
          <w:b/>
          <w:bCs/>
          <w:i/>
          <w:iCs/>
          <w:lang w:val="en-US"/>
        </w:rPr>
        <w:t>The cell center and cell radius of TN neighbour cells, or in other terms, the reference location and a distance threshold of TN neighbour cells</w:t>
      </w:r>
      <w:r>
        <w:rPr>
          <w:rFonts w:hint="default"/>
          <w:b/>
          <w:bCs w:val="0"/>
          <w:lang w:val="en-US"/>
        </w:rPr>
        <w:t>) could be the starting point for discussion.</w:t>
      </w:r>
    </w:p>
    <w:p>
      <w:pPr>
        <w:pStyle w:val="60"/>
        <w:spacing w:after="0"/>
        <w:ind w:left="0" w:firstLine="0"/>
        <w:rPr>
          <w:rFonts w:hint="default"/>
          <w:b/>
          <w:bCs w:val="0"/>
          <w:lang w:val="en-US" w:eastAsia="zh-CN"/>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 xml:space="preserve">In addition to option 1, relative position information(e.g. direction and distance to the current NTN serving cell. ) between TN neighbour cells and the current NTN serving cell could also be provided to UE to help UE choose suitable a TN neighbor cell. </w:t>
      </w: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9"/>
        <w:rPr>
          <w:rFonts w:hint="default" w:cs="Arial" w:eastAsiaTheme="minorEastAsia"/>
          <w:b/>
          <w:bCs w:val="0"/>
          <w:color w:val="000000" w:themeColor="text1"/>
          <w:sz w:val="25"/>
          <w:szCs w:val="25"/>
          <w:lang w:val="en-US" w:eastAsia="zh-CN"/>
          <w14:textFill>
            <w14:solidFill>
              <w14:schemeClr w14:val="tx1"/>
            </w14:solidFill>
          </w14:textFill>
        </w:rPr>
      </w:pP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cs="Arial" w:eastAsiaTheme="minorEastAsia"/>
          <w:bCs/>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2.2 Cell reselection for earth moving cell</w:t>
      </w:r>
    </w:p>
    <w:p>
      <w:pPr>
        <w:pStyle w:val="60"/>
        <w:spacing w:after="0"/>
        <w:ind w:left="0" w:firstLine="0"/>
        <w:rPr>
          <w:rFonts w:hint="default" w:cs="Arial" w:eastAsiaTheme="minorEastAsia"/>
          <w:bCs/>
          <w:i/>
          <w:iCs/>
          <w:color w:val="000000" w:themeColor="text1"/>
          <w:lang w:val="en-US"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 xml:space="preserve">In RAN2 119b-e meeting, it is agreed that </w:t>
      </w:r>
      <w:r>
        <w:rPr>
          <w:rFonts w:hint="default" w:cs="Arial" w:eastAsiaTheme="minorEastAsia"/>
          <w:bCs/>
          <w:i/>
          <w:iCs/>
          <w:color w:val="000000" w:themeColor="text1"/>
          <w:lang w:val="en-US" w:eastAsia="zh-CN"/>
          <w14:textFill>
            <w14:solidFill>
              <w14:schemeClr w14:val="tx1"/>
            </w14:solidFill>
          </w14:textFil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For the FFS issue about how to provide the reference location of serving cell, the following options were discussed in email discussion [2] without convergence:</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1.only location coordinates of current cell center, and network is supposed to update the values every time when it is provided for Earth-moving cell.</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2.multiple reference locations and its time information of Earth-moving cell.</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3.based on the sub-satellite point derived by satellite ephemeris and the broadcasted location offset between sub-satellite point and the cell reference location</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 xml:space="preserve">4.cell type (fixed or moving), reference location coordinates with a time stamp, and the velocity of reference location </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5.cell type, reference location corresponding to the epochTime (reuse the existing epochTime).</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default" w:eastAsia="MS Mincho"/>
          <w:color w:val="000000" w:themeColor="text1"/>
          <w:lang w:val="en-US" w:eastAsia="en-GB"/>
          <w14:textFill>
            <w14:solidFill>
              <w14:schemeClr w14:val="tx1"/>
            </w14:solidFill>
          </w14:textFill>
        </w:rPr>
        <w:t>As known</w:t>
      </w:r>
      <w:r>
        <w:rPr>
          <w:rFonts w:eastAsia="MS Mincho"/>
          <w:color w:val="000000" w:themeColor="text1"/>
          <w:lang w:eastAsia="en-GB"/>
          <w14:textFill>
            <w14:solidFill>
              <w14:schemeClr w14:val="tx1"/>
            </w14:solidFill>
          </w14:textFill>
        </w:rPr>
        <w:t xml:space="preserve">, the </w:t>
      </w:r>
      <w:r>
        <w:rPr>
          <w:color w:val="000000" w:themeColor="text1"/>
          <w14:textFill>
            <w14:solidFill>
              <w14:schemeClr w14:val="tx1"/>
            </w14:solidFill>
          </w14:textFill>
        </w:rPr>
        <w:t xml:space="preserve">reference location in a </w:t>
      </w:r>
      <w:r>
        <w:rPr>
          <w:rFonts w:hint="default"/>
          <w:color w:val="000000" w:themeColor="text1"/>
          <w:lang w:val="en-US"/>
          <w14:textFill>
            <w14:solidFill>
              <w14:schemeClr w14:val="tx1"/>
            </w14:solidFill>
          </w14:textFill>
        </w:rPr>
        <w:t xml:space="preserve">earth </w:t>
      </w:r>
      <w:r>
        <w:rPr>
          <w:color w:val="000000" w:themeColor="text1"/>
          <w14:textFill>
            <w14:solidFill>
              <w14:schemeClr w14:val="tx1"/>
            </w14:solidFill>
          </w14:textFill>
        </w:rPr>
        <w:t xml:space="preserve">moving cell would change along with the satellite </w:t>
      </w:r>
      <w:r>
        <w:rPr>
          <w:rFonts w:hint="default"/>
          <w:color w:val="000000" w:themeColor="text1"/>
          <w:lang w:val="en-US"/>
          <w14:textFill>
            <w14:solidFill>
              <w14:schemeClr w14:val="tx1"/>
            </w14:solidFill>
          </w14:textFill>
        </w:rPr>
        <w:t>movement</w:t>
      </w:r>
      <w:r>
        <w:rPr>
          <w:color w:val="000000" w:themeColor="text1"/>
          <w14:textFill>
            <w14:solidFill>
              <w14:schemeClr w14:val="tx1"/>
            </w14:solidFill>
          </w14:textFill>
        </w:rPr>
        <w:t xml:space="preserve">. </w:t>
      </w:r>
      <w:r>
        <w:rPr>
          <w:rFonts w:hint="default" w:cs="Arial" w:eastAsiaTheme="minorEastAsia"/>
          <w:color w:val="000000" w:themeColor="text1"/>
          <w:lang w:val="en-US" w:eastAsia="zh-CN"/>
          <w14:textFill>
            <w14:solidFill>
              <w14:schemeClr w14:val="tx1"/>
            </w14:solidFill>
          </w14:textFill>
        </w:rPr>
        <w:t xml:space="preserve">The cell type(fixed or moving) could be deduced implicitly by the current mechanism(i.e. whether t-service is provided by NW). And for earth moving cell, reference location with corresponding time information at different point is important for real-time reference location estimation. While </w:t>
      </w:r>
      <w:r>
        <w:rPr>
          <w:rFonts w:cs="Arial" w:eastAsiaTheme="minorEastAsia"/>
          <w:color w:val="000000" w:themeColor="text1"/>
          <w:lang w:eastAsia="zh-CN"/>
          <w14:textFill>
            <w14:solidFill>
              <w14:schemeClr w14:val="tx1"/>
            </w14:solidFill>
          </w14:textFill>
        </w:rPr>
        <w:t xml:space="preserve">the </w:t>
      </w:r>
      <w:r>
        <w:rPr>
          <w:rFonts w:hint="eastAsia" w:cs="Arial" w:eastAsiaTheme="minorEastAsia"/>
          <w:color w:val="000000" w:themeColor="text1"/>
          <w:lang w:eastAsia="zh-CN"/>
          <w14:textFill>
            <w14:solidFill>
              <w14:schemeClr w14:val="tx1"/>
            </w14:solidFill>
          </w14:textFill>
        </w:rPr>
        <w:t>moving trajectory of the satellite</w:t>
      </w:r>
      <w:r>
        <w:rPr>
          <w:rFonts w:hint="default" w:cs="Arial" w:eastAsiaTheme="minorEastAsia"/>
          <w:color w:val="000000" w:themeColor="text1"/>
          <w:lang w:val="en-US" w:eastAsia="zh-CN"/>
          <w14:textFill>
            <w14:solidFill>
              <w14:schemeClr w14:val="tx1"/>
            </w14:solidFill>
          </w14:textFill>
        </w:rPr>
        <w:t xml:space="preserve"> composed by satellite trajectory point with corresponding time information</w:t>
      </w:r>
      <w:r>
        <w:rPr>
          <w:rFonts w:hint="eastAsia" w:cs="Arial" w:eastAsiaTheme="minorEastAsia"/>
          <w:color w:val="000000" w:themeColor="text1"/>
          <w:lang w:eastAsia="zh-CN"/>
          <w14:textFill>
            <w14:solidFill>
              <w14:schemeClr w14:val="tx1"/>
            </w14:solidFill>
          </w14:textFill>
        </w:rPr>
        <w:t xml:space="preserve"> is able to </w:t>
      </w:r>
      <w:r>
        <w:rPr>
          <w:rFonts w:hint="default" w:cs="Arial" w:eastAsiaTheme="minorEastAsia"/>
          <w:color w:val="000000" w:themeColor="text1"/>
          <w:lang w:val="en-US" w:eastAsia="zh-CN"/>
          <w14:textFill>
            <w14:solidFill>
              <w14:schemeClr w14:val="tx1"/>
            </w14:solidFill>
          </w14:textFill>
        </w:rPr>
        <w:t xml:space="preserve">be </w:t>
      </w:r>
      <w:r>
        <w:rPr>
          <w:rFonts w:hint="eastAsia" w:cs="Arial" w:eastAsiaTheme="minorEastAsia"/>
          <w:color w:val="000000" w:themeColor="text1"/>
          <w:lang w:eastAsia="zh-CN"/>
          <w14:textFill>
            <w14:solidFill>
              <w14:schemeClr w14:val="tx1"/>
            </w14:solidFill>
          </w14:textFill>
        </w:rPr>
        <w:t>predict</w:t>
      </w:r>
      <w:r>
        <w:rPr>
          <w:rFonts w:hint="default" w:cs="Arial" w:eastAsiaTheme="minorEastAsia"/>
          <w:color w:val="000000" w:themeColor="text1"/>
          <w:lang w:val="en-US" w:eastAsia="zh-CN"/>
          <w14:textFill>
            <w14:solidFill>
              <w14:schemeClr w14:val="tx1"/>
            </w14:solidFill>
          </w14:textFill>
        </w:rPr>
        <w:t>ed</w:t>
      </w:r>
      <w:r>
        <w:rPr>
          <w:rFonts w:hint="eastAsia" w:cs="Arial" w:eastAsiaTheme="minorEastAsia"/>
          <w:color w:val="000000" w:themeColor="text1"/>
          <w:lang w:eastAsia="zh-CN"/>
          <w14:textFill>
            <w14:solidFill>
              <w14:schemeClr w14:val="tx1"/>
            </w14:solidFill>
          </w14:textFill>
        </w:rPr>
        <w:t xml:space="preserve"> with the ephemeris </w:t>
      </w:r>
      <w:r>
        <w:rPr>
          <w:rFonts w:hint="default" w:cs="Arial" w:eastAsiaTheme="minorEastAsia"/>
          <w:color w:val="000000" w:themeColor="text1"/>
          <w:lang w:val="en-US" w:eastAsia="zh-CN"/>
          <w14:textFill>
            <w14:solidFill>
              <w14:schemeClr w14:val="tx1"/>
            </w14:solidFill>
          </w14:textFill>
        </w:rPr>
        <w:t>already.</w:t>
      </w:r>
      <w:r>
        <w:rPr>
          <w:rFonts w:cs="Arial" w:eastAsiaTheme="minorEastAsia"/>
          <w:color w:val="000000" w:themeColor="text1"/>
          <w:lang w:eastAsia="zh-CN"/>
          <w14:textFill>
            <w14:solidFill>
              <w14:schemeClr w14:val="tx1"/>
            </w14:solidFill>
          </w14:textFill>
        </w:rPr>
        <w:t xml:space="preserve"> </w:t>
      </w:r>
      <w:r>
        <w:rPr>
          <w:rFonts w:hint="default" w:cs="Arial" w:eastAsiaTheme="minorEastAsia"/>
          <w:color w:val="000000" w:themeColor="text1"/>
          <w:lang w:val="en-US" w:eastAsia="zh-CN"/>
          <w14:textFill>
            <w14:solidFill>
              <w14:schemeClr w14:val="tx1"/>
            </w14:solidFill>
          </w14:textFill>
        </w:rPr>
        <w:t xml:space="preserve">Therefore, the real-time </w:t>
      </w:r>
      <w:r>
        <w:rPr>
          <w:rFonts w:hint="eastAsia" w:cs="Arial" w:eastAsiaTheme="minorEastAsia"/>
          <w:color w:val="000000" w:themeColor="text1"/>
          <w:lang w:eastAsia="zh-CN"/>
          <w14:textFill>
            <w14:solidFill>
              <w14:schemeClr w14:val="tx1"/>
            </w14:solidFill>
          </w14:textFill>
        </w:rPr>
        <w:t>reference location</w:t>
      </w:r>
      <w:r>
        <w:rPr>
          <w:rFonts w:hint="default" w:cs="Arial" w:eastAsiaTheme="minorEastAsia"/>
          <w:color w:val="000000" w:themeColor="text1"/>
          <w:lang w:val="en-US" w:eastAsia="zh-CN"/>
          <w14:textFill>
            <w14:solidFill>
              <w14:schemeClr w14:val="tx1"/>
            </w14:solidFill>
          </w14:textFill>
        </w:rPr>
        <w:t xml:space="preserve"> of earth moving cells could be estimated with the existed information and no additional information is required.</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T</w:t>
      </w:r>
      <w:r>
        <w:rPr>
          <w:rFonts w:hint="eastAsia" w:cs="Arial" w:eastAsiaTheme="minorEastAsia"/>
          <w:b/>
          <w:bCs/>
          <w:color w:val="000000" w:themeColor="text1"/>
          <w:lang w:eastAsia="zh-CN"/>
          <w14:textFill>
            <w14:solidFill>
              <w14:schemeClr w14:val="tx1"/>
            </w14:solidFill>
          </w14:textFill>
        </w:rPr>
        <w:t xml:space="preserve">he real-time reference location of earth moving cell </w:t>
      </w:r>
      <w:r>
        <w:rPr>
          <w:rFonts w:hint="default" w:cs="Arial" w:eastAsiaTheme="minorEastAsia"/>
          <w:b/>
          <w:bCs/>
          <w:color w:val="000000" w:themeColor="text1"/>
          <w:lang w:val="en-US" w:eastAsia="zh-CN"/>
          <w14:textFill>
            <w14:solidFill>
              <w14:schemeClr w14:val="tx1"/>
            </w14:solidFill>
          </w14:textFill>
        </w:rPr>
        <w:t xml:space="preserve">could already be </w:t>
      </w:r>
      <w:r>
        <w:rPr>
          <w:rFonts w:hint="eastAsia" w:cs="Arial" w:eastAsiaTheme="minorEastAsia"/>
          <w:b/>
          <w:bCs/>
          <w:color w:val="000000" w:themeColor="text1"/>
          <w:lang w:eastAsia="zh-CN"/>
          <w14:textFill>
            <w14:solidFill>
              <w14:schemeClr w14:val="tx1"/>
            </w14:solidFill>
          </w14:textFill>
        </w:rPr>
        <w:t xml:space="preserve">estimated with the existed </w:t>
      </w:r>
      <w:r>
        <w:rPr>
          <w:rFonts w:hint="default" w:cs="Arial" w:eastAsiaTheme="minorEastAsia"/>
          <w:b/>
          <w:bCs/>
          <w:color w:val="000000" w:themeColor="text1"/>
          <w:lang w:val="en-US" w:eastAsia="zh-CN"/>
          <w14:textFill>
            <w14:solidFill>
              <w14:schemeClr w14:val="tx1"/>
            </w14:solidFill>
          </w14:textFill>
        </w:rPr>
        <w:t xml:space="preserve">ephemeris </w:t>
      </w:r>
      <w:r>
        <w:rPr>
          <w:rFonts w:hint="eastAsia" w:cs="Arial" w:eastAsiaTheme="minorEastAsia"/>
          <w:b/>
          <w:bCs/>
          <w:color w:val="000000" w:themeColor="text1"/>
          <w:lang w:eastAsia="zh-CN"/>
          <w14:textFill>
            <w14:solidFill>
              <w14:schemeClr w14:val="tx1"/>
            </w14:solidFill>
          </w14:textFill>
        </w:rPr>
        <w:t>information</w:t>
      </w:r>
      <w:r>
        <w:rPr>
          <w:rFonts w:hint="default" w:cs="Arial" w:eastAsiaTheme="minorEastAsia"/>
          <w:b/>
          <w:bCs/>
          <w:color w:val="000000" w:themeColor="text1"/>
          <w:lang w:val="en-US" w:eastAsia="zh-CN"/>
          <w14:textFill>
            <w14:solidFill>
              <w14:schemeClr w14:val="tx1"/>
            </w14:solidFill>
          </w14:textFill>
        </w:rPr>
        <w:t xml:space="preserve"> and no additional information is required</w:t>
      </w:r>
      <w:r>
        <w:rPr>
          <w:rFonts w:hint="eastAsia" w:cs="Arial" w:eastAsiaTheme="minorEastAsia"/>
          <w:b/>
          <w:bCs/>
          <w:color w:val="000000" w:themeColor="text1"/>
          <w:lang w:eastAsia="zh-CN"/>
          <w14:textFill>
            <w14:solidFill>
              <w14:schemeClr w14:val="tx1"/>
            </w14:solidFill>
          </w14:textFill>
        </w:rPr>
        <w:t>.</w:t>
      </w:r>
    </w:p>
    <w:p>
      <w:pPr>
        <w:pStyle w:val="60"/>
        <w:spacing w:after="0"/>
        <w:ind w:left="0" w:firstLine="0"/>
        <w:rPr>
          <w:rFonts w:hint="eastAsia" w:eastAsiaTheme="minorEastAsia"/>
          <w:color w:val="000000" w:themeColor="text1"/>
          <w:lang w:eastAsia="zh-CN"/>
          <w14:textFill>
            <w14:solidFill>
              <w14:schemeClr w14:val="tx1"/>
            </w14:solidFill>
          </w14:textFill>
        </w:rPr>
      </w:pP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hint="default"/>
          <w:b/>
          <w:bCs w:val="0"/>
          <w:lang w:val="en-US"/>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val="0"/>
          <w:color w:val="000000" w:themeColor="text1"/>
          <w:lang w:val="en-US" w:eastAsia="zh-CN"/>
          <w14:textFill>
            <w14:solidFill>
              <w14:schemeClr w14:val="tx1"/>
            </w14:solidFill>
          </w14:textFill>
        </w:rPr>
        <w:t>Regarding the assistance information for UE</w:t>
      </w:r>
      <w:r>
        <w:rPr>
          <w:b/>
          <w:bCs w:val="0"/>
        </w:rPr>
        <w:t xml:space="preserve"> to identify an area where TN network is available</w:t>
      </w:r>
      <w:r>
        <w:rPr>
          <w:rFonts w:hint="default"/>
          <w:b/>
          <w:bCs w:val="0"/>
          <w:lang w:val="en-US"/>
        </w:rPr>
        <w:t>, option 1(</w:t>
      </w:r>
      <w:r>
        <w:rPr>
          <w:rFonts w:hint="default"/>
          <w:b/>
          <w:bCs/>
          <w:i/>
          <w:iCs/>
          <w:lang w:val="en-US"/>
        </w:rPr>
        <w:t>The cell center and cell radius of TN neighbour cells, or in other terms, the reference location and a distance threshold of TN neighbour cells</w:t>
      </w:r>
      <w:r>
        <w:rPr>
          <w:rFonts w:hint="default"/>
          <w:b/>
          <w:bCs w:val="0"/>
          <w:lang w:val="en-US"/>
        </w:rPr>
        <w:t>) could be the starting point for discussion.</w:t>
      </w:r>
    </w:p>
    <w:p>
      <w:pPr>
        <w:pStyle w:val="60"/>
        <w:spacing w:after="0"/>
        <w:ind w:left="0" w:firstLine="0"/>
        <w:rPr>
          <w:rFonts w:hint="default"/>
          <w:b/>
          <w:bCs w:val="0"/>
          <w:lang w:val="en-US" w:eastAsia="zh-CN"/>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 xml:space="preserve">In addition to option 1, relative position information(e.g. direction and distance to the current NTN serving cell. ) between TN neighbour cells and the current NTN serving cell could also be provided to UE to help UE choose suitable a TN neighbor cell. </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T</w:t>
      </w:r>
      <w:r>
        <w:rPr>
          <w:rFonts w:hint="eastAsia" w:cs="Arial" w:eastAsiaTheme="minorEastAsia"/>
          <w:b/>
          <w:bCs/>
          <w:color w:val="000000" w:themeColor="text1"/>
          <w:lang w:eastAsia="zh-CN"/>
          <w14:textFill>
            <w14:solidFill>
              <w14:schemeClr w14:val="tx1"/>
            </w14:solidFill>
          </w14:textFill>
        </w:rPr>
        <w:t xml:space="preserve">he real-time reference location of earth moving cell </w:t>
      </w:r>
      <w:r>
        <w:rPr>
          <w:rFonts w:hint="default" w:cs="Arial" w:eastAsiaTheme="minorEastAsia"/>
          <w:b/>
          <w:bCs/>
          <w:color w:val="000000" w:themeColor="text1"/>
          <w:lang w:val="en-US" w:eastAsia="zh-CN"/>
          <w14:textFill>
            <w14:solidFill>
              <w14:schemeClr w14:val="tx1"/>
            </w14:solidFill>
          </w14:textFill>
        </w:rPr>
        <w:t xml:space="preserve">could already be </w:t>
      </w:r>
      <w:r>
        <w:rPr>
          <w:rFonts w:hint="eastAsia" w:cs="Arial" w:eastAsiaTheme="minorEastAsia"/>
          <w:b/>
          <w:bCs/>
          <w:color w:val="000000" w:themeColor="text1"/>
          <w:lang w:eastAsia="zh-CN"/>
          <w14:textFill>
            <w14:solidFill>
              <w14:schemeClr w14:val="tx1"/>
            </w14:solidFill>
          </w14:textFill>
        </w:rPr>
        <w:t xml:space="preserve">estimated with the existed </w:t>
      </w:r>
      <w:r>
        <w:rPr>
          <w:rFonts w:hint="default" w:cs="Arial" w:eastAsiaTheme="minorEastAsia"/>
          <w:b/>
          <w:bCs/>
          <w:color w:val="000000" w:themeColor="text1"/>
          <w:lang w:val="en-US" w:eastAsia="zh-CN"/>
          <w14:textFill>
            <w14:solidFill>
              <w14:schemeClr w14:val="tx1"/>
            </w14:solidFill>
          </w14:textFill>
        </w:rPr>
        <w:t xml:space="preserve">ephemeris </w:t>
      </w:r>
      <w:r>
        <w:rPr>
          <w:rFonts w:hint="eastAsia" w:cs="Arial" w:eastAsiaTheme="minorEastAsia"/>
          <w:b/>
          <w:bCs/>
          <w:color w:val="000000" w:themeColor="text1"/>
          <w:lang w:eastAsia="zh-CN"/>
          <w14:textFill>
            <w14:solidFill>
              <w14:schemeClr w14:val="tx1"/>
            </w14:solidFill>
          </w14:textFill>
        </w:rPr>
        <w:t>information</w:t>
      </w:r>
      <w:r>
        <w:rPr>
          <w:rFonts w:hint="default" w:cs="Arial" w:eastAsiaTheme="minorEastAsia"/>
          <w:b/>
          <w:bCs/>
          <w:color w:val="000000" w:themeColor="text1"/>
          <w:lang w:val="en-US" w:eastAsia="zh-CN"/>
          <w14:textFill>
            <w14:solidFill>
              <w14:schemeClr w14:val="tx1"/>
            </w14:solidFill>
          </w14:textFill>
        </w:rPr>
        <w:t xml:space="preserve"> and no additional information is required</w:t>
      </w:r>
      <w:r>
        <w:rPr>
          <w:rFonts w:hint="eastAsia" w:cs="Arial" w:eastAsiaTheme="minorEastAsia"/>
          <w:b/>
          <w:bCs/>
          <w:color w:val="000000" w:themeColor="text1"/>
          <w:lang w:eastAsia="zh-CN"/>
          <w14:textFill>
            <w14:solidFill>
              <w14:schemeClr w14:val="tx1"/>
            </w14:solidFill>
          </w14:textFill>
        </w:rPr>
        <w:t>.</w:t>
      </w:r>
    </w:p>
    <w:p>
      <w:pPr>
        <w:pStyle w:val="60"/>
        <w:spacing w:after="0"/>
        <w:ind w:left="0" w:firstLine="0"/>
        <w:rPr>
          <w:rFonts w:cs="Arial" w:eastAsiaTheme="minorEastAsia"/>
          <w:b/>
          <w:bCs/>
          <w:color w:val="000000" w:themeColor="text1"/>
          <w:highlight w:val="none"/>
          <w:lang w:eastAsia="zh-CN"/>
          <w14:textFill>
            <w14:solidFill>
              <w14:schemeClr w14:val="tx1"/>
            </w14:solidFill>
          </w14:textFill>
        </w:rPr>
      </w:pP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RAN2-119bis-e - NR-NTN-IoT-NTN_EOM</w:t>
      </w:r>
    </w:p>
    <w:p>
      <w:pPr>
        <w:pStyle w:val="29"/>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R2-2210860 Report of [AT119bis-e][117][NR NTN Enh] cell reselection enhancements (Intel)</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22AB2A1E"/>
    <w:multiLevelType w:val="multilevel"/>
    <w:tmpl w:val="22AB2A1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A71BEB"/>
    <w:multiLevelType w:val="multilevel"/>
    <w:tmpl w:val="7EA71BE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744528"/>
    <w:rsid w:val="03A11802"/>
    <w:rsid w:val="03F47F88"/>
    <w:rsid w:val="048A5003"/>
    <w:rsid w:val="04B403C6"/>
    <w:rsid w:val="04F50E2F"/>
    <w:rsid w:val="0556040B"/>
    <w:rsid w:val="05606A49"/>
    <w:rsid w:val="05983EBC"/>
    <w:rsid w:val="06261BBF"/>
    <w:rsid w:val="0654248D"/>
    <w:rsid w:val="078C1F33"/>
    <w:rsid w:val="07B959B1"/>
    <w:rsid w:val="07EF7893"/>
    <w:rsid w:val="080725BF"/>
    <w:rsid w:val="083F0917"/>
    <w:rsid w:val="08AF444E"/>
    <w:rsid w:val="08C72F36"/>
    <w:rsid w:val="09133D3D"/>
    <w:rsid w:val="09D41BD9"/>
    <w:rsid w:val="0A9740DA"/>
    <w:rsid w:val="0ACC0F45"/>
    <w:rsid w:val="0B095C10"/>
    <w:rsid w:val="0B197012"/>
    <w:rsid w:val="0B277F39"/>
    <w:rsid w:val="0B4A1814"/>
    <w:rsid w:val="0BD60B5C"/>
    <w:rsid w:val="0C604758"/>
    <w:rsid w:val="0CAE5B2E"/>
    <w:rsid w:val="0CDE4BE3"/>
    <w:rsid w:val="0D524167"/>
    <w:rsid w:val="0D681ED9"/>
    <w:rsid w:val="0DDB664A"/>
    <w:rsid w:val="0DF15A6B"/>
    <w:rsid w:val="0E8665F6"/>
    <w:rsid w:val="0EC152B6"/>
    <w:rsid w:val="0EC440FF"/>
    <w:rsid w:val="0F581B52"/>
    <w:rsid w:val="0F731FAE"/>
    <w:rsid w:val="0FCC0A5A"/>
    <w:rsid w:val="0FE0018D"/>
    <w:rsid w:val="0FF61F41"/>
    <w:rsid w:val="10221AC0"/>
    <w:rsid w:val="11043CD0"/>
    <w:rsid w:val="110F10D1"/>
    <w:rsid w:val="11B82D63"/>
    <w:rsid w:val="11C5063A"/>
    <w:rsid w:val="11E2632C"/>
    <w:rsid w:val="12BA7EC6"/>
    <w:rsid w:val="12C4018F"/>
    <w:rsid w:val="13116F0E"/>
    <w:rsid w:val="134A0035"/>
    <w:rsid w:val="135C7F4F"/>
    <w:rsid w:val="13784D5C"/>
    <w:rsid w:val="13DE7A54"/>
    <w:rsid w:val="141B1C76"/>
    <w:rsid w:val="14945B6F"/>
    <w:rsid w:val="149A45BB"/>
    <w:rsid w:val="14A20FFB"/>
    <w:rsid w:val="153372CB"/>
    <w:rsid w:val="15431B89"/>
    <w:rsid w:val="157C7625"/>
    <w:rsid w:val="16563130"/>
    <w:rsid w:val="165D26B6"/>
    <w:rsid w:val="169343E9"/>
    <w:rsid w:val="1795675B"/>
    <w:rsid w:val="180E362D"/>
    <w:rsid w:val="18B9619D"/>
    <w:rsid w:val="191242AE"/>
    <w:rsid w:val="1A330485"/>
    <w:rsid w:val="1A6F62AB"/>
    <w:rsid w:val="1A955970"/>
    <w:rsid w:val="1AEF5DBD"/>
    <w:rsid w:val="1B423649"/>
    <w:rsid w:val="1BA24967"/>
    <w:rsid w:val="1BD63413"/>
    <w:rsid w:val="1BD95F94"/>
    <w:rsid w:val="1BDA5141"/>
    <w:rsid w:val="1C3D1CD0"/>
    <w:rsid w:val="1C5E7298"/>
    <w:rsid w:val="1CC119D3"/>
    <w:rsid w:val="1DA17A2E"/>
    <w:rsid w:val="1DDD518B"/>
    <w:rsid w:val="1E3072B7"/>
    <w:rsid w:val="1E403C53"/>
    <w:rsid w:val="1E851282"/>
    <w:rsid w:val="1E8757C6"/>
    <w:rsid w:val="1EAA6DF5"/>
    <w:rsid w:val="1F734328"/>
    <w:rsid w:val="1FA11974"/>
    <w:rsid w:val="20203DE8"/>
    <w:rsid w:val="2031215C"/>
    <w:rsid w:val="20955704"/>
    <w:rsid w:val="20DB7C51"/>
    <w:rsid w:val="20E9518E"/>
    <w:rsid w:val="20F12FA1"/>
    <w:rsid w:val="211313D4"/>
    <w:rsid w:val="21D77282"/>
    <w:rsid w:val="21DF0F8F"/>
    <w:rsid w:val="21ED415F"/>
    <w:rsid w:val="21F105D4"/>
    <w:rsid w:val="21F86645"/>
    <w:rsid w:val="22C7596B"/>
    <w:rsid w:val="24085D2A"/>
    <w:rsid w:val="245B6D34"/>
    <w:rsid w:val="2467469A"/>
    <w:rsid w:val="24B82068"/>
    <w:rsid w:val="24E10292"/>
    <w:rsid w:val="25043CC9"/>
    <w:rsid w:val="25056D91"/>
    <w:rsid w:val="260A3B09"/>
    <w:rsid w:val="262E3D44"/>
    <w:rsid w:val="27115A22"/>
    <w:rsid w:val="27606908"/>
    <w:rsid w:val="27840467"/>
    <w:rsid w:val="27D314AB"/>
    <w:rsid w:val="2809471B"/>
    <w:rsid w:val="285478B9"/>
    <w:rsid w:val="29423CBE"/>
    <w:rsid w:val="29CD3FA9"/>
    <w:rsid w:val="2A455191"/>
    <w:rsid w:val="2AC82235"/>
    <w:rsid w:val="2B083F92"/>
    <w:rsid w:val="2B4C42DE"/>
    <w:rsid w:val="2B542A45"/>
    <w:rsid w:val="2B5F5BD2"/>
    <w:rsid w:val="2BE54292"/>
    <w:rsid w:val="2CF51ED1"/>
    <w:rsid w:val="2CFA23BD"/>
    <w:rsid w:val="2D5923F4"/>
    <w:rsid w:val="2DB6192E"/>
    <w:rsid w:val="2DEF7093"/>
    <w:rsid w:val="2DF36570"/>
    <w:rsid w:val="2E946C1E"/>
    <w:rsid w:val="2EAE16B2"/>
    <w:rsid w:val="2EB775B3"/>
    <w:rsid w:val="2EE85B84"/>
    <w:rsid w:val="30946552"/>
    <w:rsid w:val="311B2E7F"/>
    <w:rsid w:val="3142695E"/>
    <w:rsid w:val="319D3380"/>
    <w:rsid w:val="31AE180F"/>
    <w:rsid w:val="31C777AC"/>
    <w:rsid w:val="327E592B"/>
    <w:rsid w:val="32A942B0"/>
    <w:rsid w:val="32F13120"/>
    <w:rsid w:val="333663A2"/>
    <w:rsid w:val="33E26367"/>
    <w:rsid w:val="33F614DE"/>
    <w:rsid w:val="346D3EBD"/>
    <w:rsid w:val="34914DCA"/>
    <w:rsid w:val="34D20AC7"/>
    <w:rsid w:val="34F55F88"/>
    <w:rsid w:val="35AC0B91"/>
    <w:rsid w:val="35AC5558"/>
    <w:rsid w:val="35E81533"/>
    <w:rsid w:val="361C2353"/>
    <w:rsid w:val="3635547B"/>
    <w:rsid w:val="36746B61"/>
    <w:rsid w:val="36A9407C"/>
    <w:rsid w:val="36FA1D41"/>
    <w:rsid w:val="373838A6"/>
    <w:rsid w:val="376D3348"/>
    <w:rsid w:val="37C2178A"/>
    <w:rsid w:val="37D57FF5"/>
    <w:rsid w:val="3829480D"/>
    <w:rsid w:val="383529C2"/>
    <w:rsid w:val="383C5BD0"/>
    <w:rsid w:val="388727CC"/>
    <w:rsid w:val="39024B57"/>
    <w:rsid w:val="39282EA2"/>
    <w:rsid w:val="3A06167E"/>
    <w:rsid w:val="3A6F42D5"/>
    <w:rsid w:val="3A82293D"/>
    <w:rsid w:val="3A9E2AD9"/>
    <w:rsid w:val="3BA7658A"/>
    <w:rsid w:val="3D956B18"/>
    <w:rsid w:val="3D966C01"/>
    <w:rsid w:val="3DA51E2F"/>
    <w:rsid w:val="3DB43891"/>
    <w:rsid w:val="3F191D76"/>
    <w:rsid w:val="40325295"/>
    <w:rsid w:val="40F82E28"/>
    <w:rsid w:val="41585AC3"/>
    <w:rsid w:val="41B34CCB"/>
    <w:rsid w:val="41C576A3"/>
    <w:rsid w:val="41FD2634"/>
    <w:rsid w:val="420610DF"/>
    <w:rsid w:val="423E4C42"/>
    <w:rsid w:val="428507B0"/>
    <w:rsid w:val="429544E1"/>
    <w:rsid w:val="42CE6929"/>
    <w:rsid w:val="42F71CEC"/>
    <w:rsid w:val="443B107F"/>
    <w:rsid w:val="449E617D"/>
    <w:rsid w:val="44B14540"/>
    <w:rsid w:val="44BA7E1E"/>
    <w:rsid w:val="44BE79C3"/>
    <w:rsid w:val="44F05BC3"/>
    <w:rsid w:val="45CA31DA"/>
    <w:rsid w:val="45E509B9"/>
    <w:rsid w:val="45EC6821"/>
    <w:rsid w:val="45F303D0"/>
    <w:rsid w:val="460F2E21"/>
    <w:rsid w:val="464004CF"/>
    <w:rsid w:val="46B51FCF"/>
    <w:rsid w:val="46BA0199"/>
    <w:rsid w:val="47062A9A"/>
    <w:rsid w:val="47993F84"/>
    <w:rsid w:val="480A17DC"/>
    <w:rsid w:val="482C507C"/>
    <w:rsid w:val="484E1C04"/>
    <w:rsid w:val="48564F2E"/>
    <w:rsid w:val="48690AF5"/>
    <w:rsid w:val="49655FF0"/>
    <w:rsid w:val="4A284A82"/>
    <w:rsid w:val="4A662E1D"/>
    <w:rsid w:val="4A7E32B4"/>
    <w:rsid w:val="4AB75B88"/>
    <w:rsid w:val="4B1367B9"/>
    <w:rsid w:val="4B316DE7"/>
    <w:rsid w:val="4B887A7E"/>
    <w:rsid w:val="4B9408CA"/>
    <w:rsid w:val="4C24278C"/>
    <w:rsid w:val="4C353BC7"/>
    <w:rsid w:val="4C5D54D6"/>
    <w:rsid w:val="4C814518"/>
    <w:rsid w:val="4C91315E"/>
    <w:rsid w:val="4CAD0872"/>
    <w:rsid w:val="4CCE50CA"/>
    <w:rsid w:val="4CF719D4"/>
    <w:rsid w:val="4D594475"/>
    <w:rsid w:val="4DB06342"/>
    <w:rsid w:val="4DEC01C6"/>
    <w:rsid w:val="4DF158ED"/>
    <w:rsid w:val="4E4D0205"/>
    <w:rsid w:val="4E846939"/>
    <w:rsid w:val="4E871374"/>
    <w:rsid w:val="4EC83A06"/>
    <w:rsid w:val="4F2C3853"/>
    <w:rsid w:val="4F7F20AA"/>
    <w:rsid w:val="4F873909"/>
    <w:rsid w:val="4FF617D6"/>
    <w:rsid w:val="506B2DFC"/>
    <w:rsid w:val="50853D5B"/>
    <w:rsid w:val="50E64646"/>
    <w:rsid w:val="516A6684"/>
    <w:rsid w:val="518C6DB2"/>
    <w:rsid w:val="51E261D3"/>
    <w:rsid w:val="51FE4105"/>
    <w:rsid w:val="51FE7585"/>
    <w:rsid w:val="53322A76"/>
    <w:rsid w:val="53C54AA3"/>
    <w:rsid w:val="546B361A"/>
    <w:rsid w:val="54A648D1"/>
    <w:rsid w:val="54E44ED6"/>
    <w:rsid w:val="55571991"/>
    <w:rsid w:val="556A1864"/>
    <w:rsid w:val="55F509A9"/>
    <w:rsid w:val="581B2429"/>
    <w:rsid w:val="58F72495"/>
    <w:rsid w:val="592E540E"/>
    <w:rsid w:val="59620232"/>
    <w:rsid w:val="598D15AD"/>
    <w:rsid w:val="59A00F56"/>
    <w:rsid w:val="59B24039"/>
    <w:rsid w:val="5A31005C"/>
    <w:rsid w:val="5B8D1AC1"/>
    <w:rsid w:val="5BA3592C"/>
    <w:rsid w:val="5C610721"/>
    <w:rsid w:val="5C9556C8"/>
    <w:rsid w:val="5CFE4143"/>
    <w:rsid w:val="5DDE5D84"/>
    <w:rsid w:val="5E204AD7"/>
    <w:rsid w:val="5E6D4BC0"/>
    <w:rsid w:val="5ED151CF"/>
    <w:rsid w:val="5F232783"/>
    <w:rsid w:val="5F3E69CE"/>
    <w:rsid w:val="6009519E"/>
    <w:rsid w:val="60291B4C"/>
    <w:rsid w:val="60373428"/>
    <w:rsid w:val="60AD5F5F"/>
    <w:rsid w:val="60B64CF0"/>
    <w:rsid w:val="60E30438"/>
    <w:rsid w:val="612D3C7B"/>
    <w:rsid w:val="614C7842"/>
    <w:rsid w:val="61826F89"/>
    <w:rsid w:val="622B3B50"/>
    <w:rsid w:val="622C7E43"/>
    <w:rsid w:val="6289482D"/>
    <w:rsid w:val="62E70A4E"/>
    <w:rsid w:val="632C6FC4"/>
    <w:rsid w:val="634B3FF6"/>
    <w:rsid w:val="64460ECC"/>
    <w:rsid w:val="644F5E22"/>
    <w:rsid w:val="64D843A5"/>
    <w:rsid w:val="65BE6626"/>
    <w:rsid w:val="663B46C9"/>
    <w:rsid w:val="663F30CF"/>
    <w:rsid w:val="67117DA9"/>
    <w:rsid w:val="67413BF6"/>
    <w:rsid w:val="67D27C62"/>
    <w:rsid w:val="67DF6978"/>
    <w:rsid w:val="68074EB7"/>
    <w:rsid w:val="683D458E"/>
    <w:rsid w:val="684A4064"/>
    <w:rsid w:val="692869C3"/>
    <w:rsid w:val="694E04D2"/>
    <w:rsid w:val="698044A5"/>
    <w:rsid w:val="6A510F7A"/>
    <w:rsid w:val="6AA67E64"/>
    <w:rsid w:val="6AD96913"/>
    <w:rsid w:val="6B0D712F"/>
    <w:rsid w:val="6B28575B"/>
    <w:rsid w:val="6B5917AB"/>
    <w:rsid w:val="6C3B431E"/>
    <w:rsid w:val="6C5333DB"/>
    <w:rsid w:val="6C857DA8"/>
    <w:rsid w:val="6CC1587C"/>
    <w:rsid w:val="6D2B74AA"/>
    <w:rsid w:val="6E280F38"/>
    <w:rsid w:val="6E8A21F7"/>
    <w:rsid w:val="6F2867BD"/>
    <w:rsid w:val="6F44559B"/>
    <w:rsid w:val="6F8B6967"/>
    <w:rsid w:val="703A2630"/>
    <w:rsid w:val="709C594C"/>
    <w:rsid w:val="71376C0A"/>
    <w:rsid w:val="71D05F49"/>
    <w:rsid w:val="727E3A54"/>
    <w:rsid w:val="72B12123"/>
    <w:rsid w:val="72BA547D"/>
    <w:rsid w:val="733D5C3B"/>
    <w:rsid w:val="739C0220"/>
    <w:rsid w:val="73F82EA2"/>
    <w:rsid w:val="7435596C"/>
    <w:rsid w:val="74722C9A"/>
    <w:rsid w:val="747E452E"/>
    <w:rsid w:val="74FA5A4A"/>
    <w:rsid w:val="755E4E24"/>
    <w:rsid w:val="755F161D"/>
    <w:rsid w:val="75884210"/>
    <w:rsid w:val="75BD4A84"/>
    <w:rsid w:val="75EA7003"/>
    <w:rsid w:val="760D56E2"/>
    <w:rsid w:val="76EE218C"/>
    <w:rsid w:val="772E0B03"/>
    <w:rsid w:val="77833E7F"/>
    <w:rsid w:val="778A542A"/>
    <w:rsid w:val="77C177F8"/>
    <w:rsid w:val="77EF5E51"/>
    <w:rsid w:val="7820430F"/>
    <w:rsid w:val="79332F0B"/>
    <w:rsid w:val="79C11BD2"/>
    <w:rsid w:val="79E8078D"/>
    <w:rsid w:val="7A3422EE"/>
    <w:rsid w:val="7A4774F3"/>
    <w:rsid w:val="7A933BB6"/>
    <w:rsid w:val="7AA678C6"/>
    <w:rsid w:val="7AB73377"/>
    <w:rsid w:val="7B113087"/>
    <w:rsid w:val="7B9E2E7D"/>
    <w:rsid w:val="7C050B07"/>
    <w:rsid w:val="7C9E7A01"/>
    <w:rsid w:val="7D2E186E"/>
    <w:rsid w:val="7D8F4D8B"/>
    <w:rsid w:val="7DD14D63"/>
    <w:rsid w:val="7E0773D0"/>
    <w:rsid w:val="7E5D66DD"/>
    <w:rsid w:val="7E620E1C"/>
    <w:rsid w:val="7E734104"/>
    <w:rsid w:val="7EEE5FCC"/>
    <w:rsid w:val="7F2E279D"/>
    <w:rsid w:val="7F977549"/>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5</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2022-11-04T06:57:51Z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0065AA4145114676A02DCDF07E50F36D</vt:lpwstr>
  </property>
</Properties>
</file>